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72" w:rsidRDefault="00BF42F8">
      <w:pPr>
        <w:pStyle w:val="Encabezado1"/>
      </w:pPr>
      <w:r>
        <w:t>Declaración ante la cumbre de presidentes de la Alianza del Pacífico y del Mercosur</w:t>
      </w:r>
    </w:p>
    <w:p w:rsidR="006E5272" w:rsidRDefault="006E5272">
      <w:pPr>
        <w:pStyle w:val="Cuerpodetexto"/>
        <w:numPr>
          <w:ilvl w:val="0"/>
          <w:numId w:val="1"/>
        </w:numPr>
        <w:tabs>
          <w:tab w:val="left" w:pos="0"/>
        </w:tabs>
      </w:pPr>
    </w:p>
    <w:p w:rsidR="006E5272" w:rsidRDefault="00BF42F8">
      <w:pPr>
        <w:pStyle w:val="Cuerpodetexto"/>
        <w:jc w:val="center"/>
      </w:pPr>
      <w:r>
        <w:rPr>
          <w:rStyle w:val="Muydestacado"/>
        </w:rPr>
        <w:t>Los pueblos latinoamericanos decimos NO a los Tratados de Libre Comercio</w:t>
      </w:r>
    </w:p>
    <w:p w:rsidR="006E5272" w:rsidRDefault="00BF42F8">
      <w:pPr>
        <w:pStyle w:val="Cuerpodetexto"/>
        <w:jc w:val="center"/>
      </w:pPr>
      <w:r>
        <w:rPr>
          <w:rStyle w:val="Muydestacado"/>
        </w:rPr>
        <w:t>¡Basta de privilegios para las empresas a costa de nuestros derechos!</w:t>
      </w:r>
    </w:p>
    <w:p w:rsidR="006E5272" w:rsidRDefault="00BF42F8">
      <w:pPr>
        <w:pStyle w:val="Cuerpodetexto"/>
      </w:pPr>
      <w:r>
        <w:t xml:space="preserve">  </w:t>
      </w:r>
    </w:p>
    <w:p w:rsidR="006E5272" w:rsidRDefault="00BF42F8">
      <w:pPr>
        <w:pStyle w:val="Cuerpodetexto"/>
        <w:jc w:val="both"/>
      </w:pPr>
      <w:r>
        <w:rPr>
          <w:rStyle w:val="Muydestacado"/>
        </w:rPr>
        <w:t xml:space="preserve">Las organizaciones y </w:t>
      </w:r>
      <w:r>
        <w:rPr>
          <w:rStyle w:val="Muydestacado"/>
        </w:rPr>
        <w:t>coaliciones de lucha contra los Tratados de Libre Comercio (TLC) abajo firmantes rechazamos el intento de los gobiernos de la Alianza del Pacífico y del Mercosur de unificar América Latina bajo el signo del libre comercio</w:t>
      </w:r>
      <w:r>
        <w:t>. La reunión de presidentes de ambo</w:t>
      </w:r>
      <w:r>
        <w:t xml:space="preserve">s bloques planeada para este 7 de abril, significa avanzar en la agenda de libre comercio entre nuestros países, la cual nos traerá más hambre y pobreza. Hoy alzamos nuestra voz contra este intento de construir un “nuevo ALCA” que otorga privilegios a las </w:t>
      </w:r>
      <w:r>
        <w:t>corporaciones y quita derechos a nuestros pueblos.</w:t>
      </w:r>
    </w:p>
    <w:p w:rsidR="006E5272" w:rsidRDefault="00BF42F8">
      <w:pPr>
        <w:pStyle w:val="Cuerpodetexto"/>
        <w:jc w:val="both"/>
      </w:pPr>
      <w:r>
        <w:t>Los TLC y sus efectos no son nuevos para los pueblos latinoamericanos. Nuestras organizaciones han sido parte de la lucha contra el ALCA y el libre comercio en el continente durante los últimos veinte años</w:t>
      </w:r>
      <w:r>
        <w:t xml:space="preserve">. Esta experiencia nos permite correr la cortina sobre el mito de los supuestos beneficios de la liberalización comercial. </w:t>
      </w:r>
      <w:r>
        <w:rPr>
          <w:rStyle w:val="Muydestacado"/>
        </w:rPr>
        <w:t>Las consecuencias atroces de la apertura indiscriminada son notorias en los países que ya avanzaron por este camino.</w:t>
      </w:r>
      <w:r>
        <w:t xml:space="preserve"> En México, se ha</w:t>
      </w:r>
      <w:r>
        <w:t xml:space="preserve"> pasado a depender del maíz importado de EEUU a partir del TLCAN; en Colombia, el TLC con Corea del Sur está destruyendo la industria de “línea blanca”; en Perú, el sector textil ha sido impactado negativamente por la apertura indiscriminada al entrar en v</w:t>
      </w:r>
      <w:r>
        <w:t xml:space="preserve">igencia el TLC con China; en Chile, el neoliberalismo ha tenido como vehículo la firma compulsiva de decenas de acuerdos de liberalización comercial. Estos TLC han significado la </w:t>
      </w:r>
      <w:proofErr w:type="spellStart"/>
      <w:r>
        <w:t>reprimarización</w:t>
      </w:r>
      <w:proofErr w:type="spellEnd"/>
      <w:r>
        <w:t xml:space="preserve"> y desindustrialización de nuestras economías, además de la de</w:t>
      </w:r>
      <w:r>
        <w:t xml:space="preserve">strucción masiva de la naturaleza. Estos son sólo algunos ejemplos que muestran que los beneficios del libre comercio no son para las mayorías, sino sólo para los grupos económicos más concentrados que se </w:t>
      </w:r>
      <w:proofErr w:type="gramStart"/>
      <w:r>
        <w:t>benefician</w:t>
      </w:r>
      <w:proofErr w:type="gramEnd"/>
      <w:r>
        <w:t xml:space="preserve"> de que nuestros países se transformen en</w:t>
      </w:r>
      <w:r>
        <w:t xml:space="preserve"> plataformas de exportación.</w:t>
      </w:r>
    </w:p>
    <w:p w:rsidR="006E5272" w:rsidRDefault="00BF42F8">
      <w:pPr>
        <w:pStyle w:val="Cuerpodetexto"/>
        <w:jc w:val="both"/>
      </w:pPr>
      <w:r>
        <w:t>Los gobiernos neoliberales de América Latina han tomado el dogma del libre comercio como una verdad revelada, sin siquiera mostrar estudios de impacto que puedan reflejar algún mínimo beneficio para las grandes mayorías. Se inv</w:t>
      </w:r>
      <w:r>
        <w:t xml:space="preserve">olucran en negociaciones secretas y a espaldas de las poblaciones pero no pueden justificar cuáles son los supuestos efectos positivos de tal liberalización. Por el contrario, </w:t>
      </w:r>
      <w:r>
        <w:rPr>
          <w:rStyle w:val="Muydestacado"/>
        </w:rPr>
        <w:t>la experiencia nos muestra que la libertad de comercio significa bajar los están</w:t>
      </w:r>
      <w:r>
        <w:rPr>
          <w:rStyle w:val="Muydestacado"/>
        </w:rPr>
        <w:t>dares laborales, sociales y medioambientales para ser “competitivos” y poder insertar a nuestros países en las cadenas globales de valor.</w:t>
      </w:r>
      <w:r>
        <w:t xml:space="preserve"> Pero todo esto está en el plano del discurso y del deseo: la realidad muestra que el libre comercio es una carrera al </w:t>
      </w:r>
      <w:r>
        <w:t>precipicio, donde los que pierden son las grandes mayorías y la Madre Tierra.</w:t>
      </w:r>
    </w:p>
    <w:p w:rsidR="006E5272" w:rsidRDefault="00BF42F8">
      <w:pPr>
        <w:pStyle w:val="Cuerpodetexto"/>
        <w:jc w:val="both"/>
      </w:pPr>
      <w:r>
        <w:t>Sabemos que los TLC no son meros acuerdos sobre aranceles, ya que incluyen además temáticas tan sensibles como la propiedad intelectual (patentes de medicamentos, semillas, softw</w:t>
      </w:r>
      <w:r>
        <w:t>are, etc.), los servicios (incluyendo salud y educación), las compras públicas, las telecomunicaciones, la agricultura, el comercio electrónico, las inversiones y también las cláusulas que otorgan la posibilidad a los inversores extranjeros de demandar a l</w:t>
      </w:r>
      <w:r>
        <w:t xml:space="preserve">os países en centros arbitrales internacionales como el CIADI. </w:t>
      </w:r>
      <w:r>
        <w:rPr>
          <w:rStyle w:val="Muydestacado"/>
        </w:rPr>
        <w:t>Estas cláusulas aseguran los derechos de propiedad de los inversores extranjeros, mientras impactan negativamente sobre los aparatos económicos nacionales</w:t>
      </w:r>
      <w:r>
        <w:t>, especialmente sobre las pequeñas y me</w:t>
      </w:r>
      <w:r>
        <w:t>dianas empresas, generando así aumento del desempleo.</w:t>
      </w:r>
    </w:p>
    <w:p w:rsidR="006E5272" w:rsidRDefault="00BF42F8">
      <w:pPr>
        <w:pStyle w:val="Cuerpodetexto"/>
        <w:jc w:val="both"/>
      </w:pPr>
      <w:r>
        <w:t>Es por ello que hoy nos alzamos contra la agenda del libre comercio y los privilegios para las grandes corporaciones. Entendemos que estas políticas sólo plasman legalmente el poder de las empresas tran</w:t>
      </w:r>
      <w:r>
        <w:t xml:space="preserve">snacionales, dejando de lado los derechos humanos y medioambientales. Por eso </w:t>
      </w:r>
      <w:r>
        <w:rPr>
          <w:rStyle w:val="Muydestacado"/>
        </w:rPr>
        <w:t>rechazamos la agenda de liberalización en todas sus formas</w:t>
      </w:r>
      <w:r>
        <w:t>: tanto los TLC como la agenda impuesta por la Organización Mundial de Comercio, que este año se reunirá en Buenos Aires</w:t>
      </w:r>
      <w:r>
        <w:t xml:space="preserve"> para avanzar en la agenda corporativa, contraria a los pueblos.</w:t>
      </w:r>
    </w:p>
    <w:p w:rsidR="006E5272" w:rsidRDefault="00BF42F8">
      <w:pPr>
        <w:pStyle w:val="Cuerpodetexto"/>
        <w:jc w:val="both"/>
      </w:pPr>
      <w:r>
        <w:t>Por ello, exigimos:</w:t>
      </w:r>
    </w:p>
    <w:p w:rsidR="006E5272" w:rsidRDefault="00BF42F8">
      <w:pPr>
        <w:pStyle w:val="Cuerpodetexto"/>
        <w:jc w:val="both"/>
      </w:pPr>
      <w:r>
        <w:t>ü  Frenar las negociaciones de Tratados de Libre Comercio y Tratados de Inversión entre los países de la región y con terceros países, como la Unión Europea o países asiát</w:t>
      </w:r>
      <w:r>
        <w:t>icos;</w:t>
      </w:r>
    </w:p>
    <w:p w:rsidR="006E5272" w:rsidRDefault="00BF42F8">
      <w:pPr>
        <w:pStyle w:val="Cuerpodetexto"/>
        <w:jc w:val="both"/>
      </w:pPr>
      <w:proofErr w:type="gramStart"/>
      <w:r>
        <w:t>ü</w:t>
      </w:r>
      <w:proofErr w:type="gramEnd"/>
      <w:r>
        <w:t>  La realización de estudios de impacto de los efectos que el libre comercio ha tenido en los países de la región, analizando sus consecuencias laborales, sociales y medioambientales;</w:t>
      </w:r>
    </w:p>
    <w:p w:rsidR="006E5272" w:rsidRDefault="00BF42F8">
      <w:pPr>
        <w:pStyle w:val="Cuerpodetexto"/>
        <w:jc w:val="both"/>
      </w:pPr>
      <w:proofErr w:type="gramStart"/>
      <w:r>
        <w:t>ü</w:t>
      </w:r>
      <w:proofErr w:type="gramEnd"/>
      <w:r>
        <w:t>  Llamar a un diálogo abierto, transparente y vinculante con las</w:t>
      </w:r>
      <w:r>
        <w:t xml:space="preserve"> organizaciones sociales, sindicales y políticas de los bloques de la Alianza del Pacífico y el Mercosur;</w:t>
      </w:r>
    </w:p>
    <w:p w:rsidR="006E5272" w:rsidRDefault="00BF42F8">
      <w:pPr>
        <w:pStyle w:val="Cuerpodetexto"/>
        <w:jc w:val="both"/>
      </w:pPr>
      <w:proofErr w:type="gramStart"/>
      <w:r>
        <w:t>ü</w:t>
      </w:r>
      <w:proofErr w:type="gramEnd"/>
      <w:r>
        <w:t>  Avanzar en otras formas de integración regional que no pasen por el libre comercio y la profundización de los privilegios de las grandes corporacio</w:t>
      </w:r>
      <w:r>
        <w:t>nes.</w:t>
      </w:r>
    </w:p>
    <w:p w:rsidR="006E5272" w:rsidRDefault="00BF42F8">
      <w:pPr>
        <w:pStyle w:val="Cuerpodetexto"/>
        <w:jc w:val="both"/>
      </w:pPr>
      <w:r>
        <w:rPr>
          <w:rStyle w:val="Muydestacado"/>
        </w:rPr>
        <w:t>¡No más TLC en la región!</w:t>
      </w:r>
    </w:p>
    <w:p w:rsidR="006E5272" w:rsidRDefault="00BF42F8">
      <w:pPr>
        <w:pStyle w:val="Cuerpodetexto"/>
        <w:jc w:val="both"/>
      </w:pPr>
      <w:r>
        <w:rPr>
          <w:u w:val="single"/>
        </w:rPr>
        <w:t>Firman</w:t>
      </w:r>
      <w:r>
        <w:t>:</w:t>
      </w:r>
    </w:p>
    <w:p w:rsidR="006E5272" w:rsidRDefault="00BF42F8">
      <w:pPr>
        <w:pStyle w:val="Cuerpodetexto"/>
        <w:jc w:val="both"/>
      </w:pPr>
      <w:r>
        <w:t>Argentina: Asamblea “Argentina mejor sin TLC”</w:t>
      </w:r>
    </w:p>
    <w:p w:rsidR="006E5272" w:rsidRDefault="00BF42F8">
      <w:pPr>
        <w:pStyle w:val="Cuerpodetexto"/>
        <w:jc w:val="both"/>
      </w:pPr>
      <w:r>
        <w:t>Brasil: Red Brasilera por la Integración de los Pueblos (REBRIP)</w:t>
      </w:r>
    </w:p>
    <w:p w:rsidR="006E5272" w:rsidRDefault="00BF42F8">
      <w:pPr>
        <w:pStyle w:val="Cuerpodetexto"/>
        <w:jc w:val="both"/>
      </w:pPr>
      <w:r>
        <w:t>Chile: Plataforma “Chile mejor sin TPP”</w:t>
      </w:r>
    </w:p>
    <w:p w:rsidR="006E5272" w:rsidRDefault="00BF42F8">
      <w:pPr>
        <w:pStyle w:val="Cuerpodetexto"/>
        <w:jc w:val="both"/>
      </w:pPr>
      <w:r>
        <w:t>Colombia: Iniciativa “TLC al banquillo”</w:t>
      </w:r>
    </w:p>
    <w:p w:rsidR="006E5272" w:rsidRDefault="00BF42F8">
      <w:pPr>
        <w:pStyle w:val="Cuerpodetexto"/>
        <w:jc w:val="both"/>
      </w:pPr>
      <w:r>
        <w:t>México: Convergencia “Méxi</w:t>
      </w:r>
      <w:r>
        <w:t>co mejor sin TPP”</w:t>
      </w:r>
    </w:p>
    <w:p w:rsidR="006E5272" w:rsidRDefault="00BF42F8">
      <w:pPr>
        <w:pStyle w:val="Cuerpodetexto"/>
        <w:jc w:val="both"/>
      </w:pPr>
      <w:r>
        <w:t>Paraguay: BASE-IS</w:t>
      </w:r>
    </w:p>
    <w:p w:rsidR="006E5272" w:rsidRDefault="00BF42F8">
      <w:pPr>
        <w:pStyle w:val="Cuerpodetexto"/>
        <w:jc w:val="both"/>
      </w:pPr>
      <w:r>
        <w:t>Perú: Plataforma “Perú mejor sin TPP”</w:t>
      </w:r>
    </w:p>
    <w:p w:rsidR="006E5272" w:rsidRDefault="00BF42F8">
      <w:pPr>
        <w:pStyle w:val="Cuerpodetexto"/>
        <w:jc w:val="both"/>
      </w:pPr>
      <w:r>
        <w:t>Uruguay: REDES-Amigos de la Tierra</w:t>
      </w:r>
    </w:p>
    <w:p w:rsidR="006E5272" w:rsidRDefault="006E5272">
      <w:pPr>
        <w:pStyle w:val="Cuerpodetexto"/>
        <w:jc w:val="both"/>
      </w:pPr>
    </w:p>
    <w:p w:rsidR="006E5272" w:rsidRDefault="00BF42F8">
      <w:pPr>
        <w:pStyle w:val="Encabezado1"/>
      </w:pPr>
      <w:bookmarkStart w:id="0" w:name="_GoBack"/>
      <w:r>
        <w:t xml:space="preserve">Aranguren anuncia otro </w:t>
      </w:r>
      <w:proofErr w:type="spellStart"/>
      <w:r>
        <w:t>tarifazo</w:t>
      </w:r>
      <w:proofErr w:type="spellEnd"/>
      <w:r>
        <w:t xml:space="preserve"> de gas pensando en la exportación</w:t>
      </w:r>
    </w:p>
    <w:bookmarkEnd w:id="0"/>
    <w:p w:rsidR="006E5272" w:rsidRDefault="00BF42F8">
      <w:pPr>
        <w:pStyle w:val="Cuerpodetexto"/>
      </w:pPr>
      <w:r>
        <w:fldChar w:fldCharType="begin"/>
      </w:r>
      <w:r>
        <w:instrText xml:space="preserve"> HYPERLINK "http://www.opsur.org.ar/blog/tag/impactos/" \h </w:instrText>
      </w:r>
      <w:r>
        <w:fldChar w:fldCharType="separate"/>
      </w:r>
      <w:r>
        <w:rPr>
          <w:rStyle w:val="EnlacedeInternet"/>
        </w:rPr>
        <w:t xml:space="preserve">Impactos </w:t>
      </w:r>
      <w:r>
        <w:rPr>
          <w:rStyle w:val="EnlacedeInternet"/>
        </w:rPr>
        <w:t>socio-ambientales</w:t>
      </w:r>
      <w:r>
        <w:rPr>
          <w:rStyle w:val="EnlacedeInternet"/>
        </w:rPr>
        <w:fldChar w:fldCharType="end"/>
      </w:r>
      <w:r>
        <w:t xml:space="preserve">, </w:t>
      </w:r>
      <w:hyperlink r:id="rId5">
        <w:r>
          <w:rPr>
            <w:rStyle w:val="EnlacedeInternet"/>
          </w:rPr>
          <w:t>No Convencionales</w:t>
        </w:r>
      </w:hyperlink>
      <w:r>
        <w:t xml:space="preserve">, </w:t>
      </w:r>
      <w:hyperlink r:id="rId6">
        <w:r>
          <w:rPr>
            <w:rStyle w:val="EnlacedeInternet"/>
          </w:rPr>
          <w:t>Opinión y debates</w:t>
        </w:r>
      </w:hyperlink>
      <w:r>
        <w:t xml:space="preserve">, </w:t>
      </w:r>
      <w:hyperlink r:id="rId7">
        <w:r>
          <w:rPr>
            <w:rStyle w:val="EnlacedeInternet"/>
          </w:rPr>
          <w:t>Políticas públicas</w:t>
        </w:r>
      </w:hyperlink>
      <w:r>
        <w:t xml:space="preserve"> </w:t>
      </w:r>
    </w:p>
    <w:p w:rsidR="006E5272" w:rsidRDefault="006E5272">
      <w:pPr>
        <w:pStyle w:val="Cuerpodetexto"/>
        <w:numPr>
          <w:ilvl w:val="0"/>
          <w:numId w:val="2"/>
        </w:numPr>
        <w:tabs>
          <w:tab w:val="left" w:pos="0"/>
        </w:tabs>
      </w:pPr>
    </w:p>
    <w:p w:rsidR="006E5272" w:rsidRDefault="006E5272">
      <w:pPr>
        <w:pStyle w:val="Cuerpodetexto"/>
        <w:jc w:val="both"/>
      </w:pPr>
    </w:p>
    <w:p w:rsidR="006E5272" w:rsidRDefault="00BF42F8">
      <w:pPr>
        <w:pStyle w:val="Cuerpodetexto"/>
        <w:jc w:val="both"/>
      </w:pPr>
      <w:r>
        <w:rPr>
          <w:rStyle w:val="Destacado"/>
        </w:rPr>
        <w:t>El ex CEO de Shell protagonizó hoy un nuevo capítulo en la saga de la mercantilización de la energía: anunció aumentos de tarifas de hasta un 37% para los hogares y anticipó una nueva suba en noviembre, que se transferirá de mane</w:t>
      </w:r>
      <w:r>
        <w:rPr>
          <w:rStyle w:val="Destacado"/>
        </w:rPr>
        <w:t>ra directa desde quienes consuman hacia las empresas del sector. El ministro explicitó sus objetivos a mediano plazo, como la posibilidad de volver a exportar gas y la búsqueda de que “sea el mismo mercado el que defina” el valor de los hidrocarburos.</w:t>
      </w:r>
    </w:p>
    <w:p w:rsidR="006E5272" w:rsidRDefault="00BF42F8">
      <w:pPr>
        <w:pStyle w:val="Cuerpodetexto"/>
        <w:jc w:val="both"/>
      </w:pPr>
      <w:r>
        <w:t xml:space="preserve">Por Felipe Gutiérrez.- Reapareció Aranguren, volvieron los </w:t>
      </w:r>
      <w:proofErr w:type="spellStart"/>
      <w:r>
        <w:t>tarifazos</w:t>
      </w:r>
      <w:proofErr w:type="spellEnd"/>
      <w:r>
        <w:t xml:space="preserve">. Esta mañana el Ministro de Energía </w:t>
      </w:r>
      <w:r>
        <w:rPr>
          <w:rStyle w:val="Muydestacado"/>
        </w:rPr>
        <w:t>anunció los nuevos cuadros tarifarios que incluyen mayores aumentos para los hogares que tienen menor consumo y anticipó otras alzas tras las eleccione</w:t>
      </w:r>
      <w:r>
        <w:rPr>
          <w:rStyle w:val="Muydestacado"/>
        </w:rPr>
        <w:t>s, en noviembre de este año y en abril de 2018</w:t>
      </w:r>
      <w:r>
        <w:t>. Esta modificación en el cuadro tarifario persigue transferencia de montos millonarios desde las y los usuarios a las principales compañías del sector. Así, el precio pagado a la extracción de gas en boca de p</w:t>
      </w:r>
      <w:r>
        <w:t>ozo aumentará en un 10% mientras que las compañías de distribución y transporte tendrán un aumento parcial del 30%.</w:t>
      </w:r>
    </w:p>
    <w:p w:rsidR="006E5272" w:rsidRDefault="00BF42F8">
      <w:pPr>
        <w:pStyle w:val="Cuerpodetexto"/>
        <w:jc w:val="both"/>
      </w:pPr>
      <w:r>
        <w:t xml:space="preserve">Otra característica de este nuevo </w:t>
      </w:r>
      <w:proofErr w:type="spellStart"/>
      <w:r>
        <w:t>tarifazo</w:t>
      </w:r>
      <w:proofErr w:type="spellEnd"/>
      <w:r>
        <w:t>, es que es más pronunciado en las casas que menos consumen. Por ejemplo en los hogares que consum</w:t>
      </w:r>
      <w:r>
        <w:t xml:space="preserve">en hasta 70 m3 (segmento conocido como R22) tendrán un ajuste de 37,6% mientras que el aumento será de 20,6% en las que consumen hasta 216 m3 (R34). Más allá de las diferencias entre hogares, en </w:t>
      </w:r>
      <w:proofErr w:type="gramStart"/>
      <w:r>
        <w:t>todos el alza</w:t>
      </w:r>
      <w:proofErr w:type="gramEnd"/>
      <w:r>
        <w:t xml:space="preserve"> será superior al doble del valor del invierno p</w:t>
      </w:r>
      <w:r>
        <w:t xml:space="preserve">asado, debido a que el primer </w:t>
      </w:r>
      <w:proofErr w:type="spellStart"/>
      <w:r>
        <w:t>tarifazo</w:t>
      </w:r>
      <w:proofErr w:type="spellEnd"/>
      <w:r>
        <w:t xml:space="preserve"> estuvo frenado por diversos amparos judiciales, y no se aplicó durante los meses más fríos.</w:t>
      </w:r>
    </w:p>
    <w:p w:rsidR="006E5272" w:rsidRDefault="00BF42F8">
      <w:pPr>
        <w:pStyle w:val="Cuerpodetexto"/>
        <w:jc w:val="both"/>
      </w:pPr>
      <w:r>
        <w:rPr>
          <w:rStyle w:val="Muydestacado"/>
        </w:rPr>
        <w:t>Dos objetivos explícitos y dos implícitos</w:t>
      </w:r>
    </w:p>
    <w:p w:rsidR="006E5272" w:rsidRDefault="00BF42F8">
      <w:pPr>
        <w:pStyle w:val="Cuerpodetexto"/>
        <w:jc w:val="both"/>
      </w:pPr>
      <w:r>
        <w:t>Durante la conferencia de prensa realizada el viernes 31 de marzo, Aranguren señaló</w:t>
      </w:r>
      <w:r>
        <w:t xml:space="preserve"> cuáles son los principales objetivos de su cartera: bajar el costo de la generación energética y reducir los cortes, mejorando la confiabilidad del sistema. </w:t>
      </w:r>
      <w:r>
        <w:rPr>
          <w:rStyle w:val="Muydestacado"/>
        </w:rPr>
        <w:t xml:space="preserve">Los objetivos que subyacen a este discurso, sin embargo, son otros: el crecimiento exponencial de </w:t>
      </w:r>
      <w:r>
        <w:rPr>
          <w:rStyle w:val="Muydestacado"/>
        </w:rPr>
        <w:t xml:space="preserve">la extracción por medio del </w:t>
      </w:r>
      <w:proofErr w:type="spellStart"/>
      <w:r>
        <w:rPr>
          <w:rStyle w:val="Destacado"/>
        </w:rPr>
        <w:t>fracking</w:t>
      </w:r>
      <w:proofErr w:type="spellEnd"/>
      <w:r>
        <w:rPr>
          <w:rStyle w:val="Muydestacado"/>
        </w:rPr>
        <w:t xml:space="preserve"> en la cuenca Neuquina y la eliminación del sistema de subsidios para pasar a un esquema energético totalmente liberalizado</w:t>
      </w:r>
      <w:r>
        <w:t>.</w:t>
      </w:r>
    </w:p>
    <w:p w:rsidR="006E5272" w:rsidRDefault="00BF42F8">
      <w:pPr>
        <w:pStyle w:val="Cuerpodetexto"/>
        <w:jc w:val="both"/>
      </w:pPr>
      <w:r>
        <w:t>En esa línea, durante la conferencia de prensa anunció que este año dejarán de tener vigencia l</w:t>
      </w:r>
      <w:r>
        <w:t>os planes Gas Plus, que incentivaban la extracción, a una reducción progresiva de US$7,5 el millón de BTU en 2018 a US$ 6 en 2021, lo que justificó debido que espera una mayor competencia; “es natural que con la mayor producción, los precios en la Argentin</w:t>
      </w:r>
      <w:r>
        <w:t>a tengan que bajar. Necesitamos más competencia</w:t>
      </w:r>
      <w:r>
        <w:rPr>
          <w:rStyle w:val="Muydestacado"/>
        </w:rPr>
        <w:t>, necesitamos que más empresas inviertan para que los precios bajen</w:t>
      </w:r>
      <w:r>
        <w:t>”.</w:t>
      </w:r>
    </w:p>
    <w:p w:rsidR="006E5272" w:rsidRDefault="00BF42F8">
      <w:pPr>
        <w:pStyle w:val="Cuerpodetexto"/>
        <w:jc w:val="both"/>
      </w:pPr>
      <w:r>
        <w:t>El funcionario justificó esta nueva política en una preferencia del gobierno y en que “</w:t>
      </w:r>
      <w:hyperlink r:id="rId8">
        <w:r>
          <w:rPr>
            <w:rStyle w:val="EnlacedeInternet"/>
          </w:rPr>
          <w:t>la misma Corte Suprema en su fallo</w:t>
        </w:r>
      </w:hyperlink>
      <w:r>
        <w:t xml:space="preserve"> dijo que cuando el mercado define cual es el precio, hasta no es necesario una audiencia pública. </w:t>
      </w:r>
      <w:r>
        <w:rPr>
          <w:rStyle w:val="Muydestacado"/>
        </w:rPr>
        <w:t>Queremos formular una prop</w:t>
      </w:r>
      <w:r>
        <w:rPr>
          <w:rStyle w:val="Muydestacado"/>
        </w:rPr>
        <w:t>uesta de valor para las empresas productoras y las empresas consumidoras del gas natural que sea el mismo mercado el que las define</w:t>
      </w:r>
      <w:r>
        <w:t>”.</w:t>
      </w:r>
    </w:p>
    <w:p w:rsidR="006E5272" w:rsidRDefault="00BF42F8">
      <w:pPr>
        <w:pStyle w:val="Cuerpodetexto"/>
        <w:jc w:val="both"/>
      </w:pPr>
      <w:r>
        <w:t>El fin de estas políticas no es otro que profundizar la mercantilización del modelo energético, cuestión que ha sido una d</w:t>
      </w:r>
      <w:r>
        <w:t xml:space="preserve">e sus preocupaciones desde la primera hora. La obstinación del gobierno para que las y los diversos consumidores paguen un supuesto “precio real” de la energía no sólo oculta el hecho de que los valores de la extracción de gas son producto de acuerdos con </w:t>
      </w:r>
      <w:r>
        <w:t>las petroleras (unas de las más beneficiadas por este nuevo modelo) sino que explicita una concepción de la energía en tanto bien de consumo.</w:t>
      </w:r>
    </w:p>
    <w:p w:rsidR="006E5272" w:rsidRDefault="00BF42F8">
      <w:pPr>
        <w:pStyle w:val="Cuerpodetexto"/>
        <w:jc w:val="both"/>
      </w:pPr>
      <w:r>
        <w:t xml:space="preserve">Sin embargo la energía, así como por ejemplo el agua, es un Derecho Humano y por lo tanto su acceso debiera estar </w:t>
      </w:r>
      <w:r>
        <w:t>garantizado por el Estado. Del mismo modo todos los subsectores de la energía (extracción, producción, generación y transporte) debieran ser declarados de utilidad pública y controlados por el Estado en tanto bien estratégico. Por esto es que la política d</w:t>
      </w:r>
      <w:r>
        <w:t>e dejar los precios liberados al mercado termina confrontando con el cumplimiento de las necesidades básicas de las personas, en favor de un puñado de empresas concentradas.</w:t>
      </w:r>
    </w:p>
    <w:p w:rsidR="006E5272" w:rsidRDefault="00BF42F8">
      <w:pPr>
        <w:pStyle w:val="Cuerpodetexto"/>
        <w:jc w:val="both"/>
      </w:pPr>
      <w:r>
        <w:t>Pero para Aranguren la energía es un bien de consumo tanto que el objetivo a media</w:t>
      </w:r>
      <w:r>
        <w:t>no plazo es que pueda ser vendido, transformando al país de un importador de gas “a una situación de equilibrio o inclusive a volver a exportar por ejemplo en el verano. Y esto es lo que creemos que va a ocurrir”, señaló Aranguren nostálgico, quizás, de lo</w:t>
      </w:r>
      <w:r>
        <w:t>s noventa.</w:t>
      </w:r>
    </w:p>
    <w:p w:rsidR="006E5272" w:rsidRDefault="006E5272">
      <w:pPr>
        <w:pStyle w:val="Cuerpodetexto"/>
        <w:jc w:val="both"/>
      </w:pPr>
    </w:p>
    <w:p w:rsidR="006E5272" w:rsidRDefault="00BF42F8">
      <w:pPr>
        <w:pStyle w:val="Cuerpodetexto"/>
        <w:jc w:val="both"/>
      </w:pPr>
      <w:r>
        <w:t xml:space="preserve">Si </w:t>
      </w:r>
      <w:proofErr w:type="spellStart"/>
      <w:r>
        <w:t>queres</w:t>
      </w:r>
      <w:proofErr w:type="spellEnd"/>
      <w:r>
        <w:t xml:space="preserve"> conocer más sobre la crisis del sistema energético argentino te recomendamos este video que realizamos junto con el Colectivo Vaca </w:t>
      </w:r>
      <w:proofErr w:type="spellStart"/>
      <w:r>
        <w:t>Bonsai</w:t>
      </w:r>
      <w:proofErr w:type="spellEnd"/>
    </w:p>
    <w:p w:rsidR="006E5272" w:rsidRDefault="00BF42F8">
      <w:pPr>
        <w:pStyle w:val="Cuerpodetexto"/>
        <w:jc w:val="both"/>
      </w:pPr>
      <w:r>
        <w:rPr>
          <w:rStyle w:val="Destacado"/>
        </w:rPr>
        <w:t> </w:t>
      </w:r>
    </w:p>
    <w:p w:rsidR="006E5272" w:rsidRDefault="00BF42F8">
      <w:hyperlink r:id="rId9">
        <w:r>
          <w:rPr>
            <w:rStyle w:val="EnlacedeInternet"/>
          </w:rPr>
          <w:t>https://youtu.be/7xqajLJM0nI</w:t>
        </w:r>
      </w:hyperlink>
    </w:p>
    <w:p w:rsidR="006E5272" w:rsidRDefault="006E5272"/>
    <w:p w:rsidR="006E5272" w:rsidRDefault="00BF42F8">
      <w:r>
        <w:t>&lt;</w:t>
      </w:r>
      <w:proofErr w:type="spellStart"/>
      <w:proofErr w:type="gramStart"/>
      <w:r>
        <w:t>iframe</w:t>
      </w:r>
      <w:proofErr w:type="spellEnd"/>
      <w:proofErr w:type="gramEnd"/>
      <w:r>
        <w:t xml:space="preserve"> </w:t>
      </w:r>
      <w:proofErr w:type="spellStart"/>
      <w:r>
        <w:t>width</w:t>
      </w:r>
      <w:proofErr w:type="spellEnd"/>
      <w:r>
        <w:t>="</w:t>
      </w:r>
      <w:r>
        <w:t xml:space="preserve">600" </w:t>
      </w:r>
      <w:proofErr w:type="spellStart"/>
      <w:r>
        <w:t>height</w:t>
      </w:r>
      <w:proofErr w:type="spellEnd"/>
      <w:r>
        <w:t xml:space="preserve">="480" </w:t>
      </w:r>
      <w:proofErr w:type="spellStart"/>
      <w:r>
        <w:t>src</w:t>
      </w:r>
      <w:proofErr w:type="spellEnd"/>
      <w:r>
        <w:t xml:space="preserve">="https://www.youtube.com/embed/7xqajLJM0nI" </w:t>
      </w:r>
      <w:proofErr w:type="spellStart"/>
      <w:r>
        <w:t>frameborder</w:t>
      </w:r>
      <w:proofErr w:type="spellEnd"/>
      <w:r>
        <w:t xml:space="preserve">="0" </w:t>
      </w:r>
      <w:proofErr w:type="spellStart"/>
      <w:r>
        <w:t>allowfullscreen</w:t>
      </w:r>
      <w:proofErr w:type="spellEnd"/>
      <w:r>
        <w:t>&gt;&lt;/</w:t>
      </w:r>
      <w:proofErr w:type="spellStart"/>
      <w:r>
        <w:t>iframe</w:t>
      </w:r>
      <w:proofErr w:type="spellEnd"/>
      <w:r>
        <w:t>&gt;</w:t>
      </w:r>
    </w:p>
    <w:sectPr w:rsidR="006E527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2146"/>
    <w:multiLevelType w:val="multilevel"/>
    <w:tmpl w:val="3FDC5E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24324E55"/>
    <w:multiLevelType w:val="multilevel"/>
    <w:tmpl w:val="C77C7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5F369B5"/>
    <w:multiLevelType w:val="multilevel"/>
    <w:tmpl w:val="2E0E342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72"/>
    <w:rsid w:val="006E5272"/>
    <w:rsid w:val="00BF42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B8F29-1FE5-400A-A1E5-05F62B17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character" w:customStyle="1" w:styleId="Vietas">
    <w:name w:val="Viñetas"/>
    <w:rPr>
      <w:rFonts w:ascii="OpenSymbol" w:eastAsia="OpenSymbol" w:hAnsi="OpenSymbol" w:cs="OpenSymbol"/>
    </w:rPr>
  </w:style>
  <w:style w:type="character" w:customStyle="1" w:styleId="Muydestacado">
    <w:name w:val="Muy destacado"/>
    <w:rPr>
      <w:b/>
      <w:bCs/>
    </w:rPr>
  </w:style>
  <w:style w:type="character" w:customStyle="1" w:styleId="EnlacedeInternet">
    <w:name w:val="Enlace de Internet"/>
    <w:rPr>
      <w:color w:val="000080"/>
      <w:u w:val="single"/>
    </w:rPr>
  </w:style>
  <w:style w:type="character" w:customStyle="1" w:styleId="Destacado">
    <w:name w:val="Destacado"/>
    <w:rPr>
      <w:i/>
      <w:i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ij.gov.ar/nota-22759-Tarifa-de-gas--por-unanimidad--la-Corte-anul--el-aumento-respecto-de-los-usuarios-residenciales.html" TargetMode="External"/><Relationship Id="rId3" Type="http://schemas.openxmlformats.org/officeDocument/2006/relationships/settings" Target="settings.xml"/><Relationship Id="rId7" Type="http://schemas.openxmlformats.org/officeDocument/2006/relationships/hyperlink" Target="http://www.opsur.org.ar/blog/tag/politicas-publ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sur.org.ar/blog/tag/opinion/" TargetMode="External"/><Relationship Id="rId11" Type="http://schemas.openxmlformats.org/officeDocument/2006/relationships/theme" Target="theme/theme1.xml"/><Relationship Id="rId5" Type="http://schemas.openxmlformats.org/officeDocument/2006/relationships/hyperlink" Target="http://www.opsur.org.ar/blog/tag/noconvenciona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7xqajLJM0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CULTURAL</dc:creator>
  <cp:lastModifiedBy>Centro</cp:lastModifiedBy>
  <cp:revision>2</cp:revision>
  <dcterms:created xsi:type="dcterms:W3CDTF">2017-04-21T21:51:00Z</dcterms:created>
  <dcterms:modified xsi:type="dcterms:W3CDTF">2017-04-21T21:51:00Z</dcterms:modified>
  <dc:language>es-AR</dc:language>
</cp:coreProperties>
</file>